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39" w:rsidRPr="003E3639" w:rsidRDefault="003E3639" w:rsidP="003E3639">
      <w:pPr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</w:pPr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 xml:space="preserve">Statement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>by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 xml:space="preserve"> the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>Australian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 xml:space="preserve"> National Contact Point </w:t>
      </w:r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br/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>Specific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 xml:space="preserve">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>Instance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 xml:space="preserve"> – G4S Australia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>Pty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 xml:space="preserve">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kern w:val="36"/>
          <w:sz w:val="30"/>
          <w:szCs w:val="30"/>
        </w:rPr>
        <w:t>Ltd</w:t>
      </w:r>
      <w:proofErr w:type="spellEnd"/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>10 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June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 2015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On 23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September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2014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Australian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National Contact Point (the ANCP)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United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Kingdom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National Contact Point (UKNCP)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OECD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(the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)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Multinational Enterprises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received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request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specific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instance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was made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jointly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Human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Rights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Law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Centre (HRLC),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Australian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non</w:t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noBreakHyphen/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organisation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(NGO)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</w:t>
      </w:r>
      <w:bookmarkStart w:id="0" w:name="_GoBack"/>
      <w:bookmarkEnd w:id="0"/>
      <w:r w:rsidRPr="003E3639">
        <w:rPr>
          <w:rFonts w:ascii="Arial" w:eastAsia="Times New Roman" w:hAnsi="Arial" w:cs="Arial"/>
          <w:color w:val="000000"/>
          <w:sz w:val="19"/>
          <w:szCs w:val="19"/>
        </w:rPr>
        <w:t>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Rights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Accountability in Development (RAID), a United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Kingdom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NGO.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was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also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made public,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including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identity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company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involved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HRLC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RAID. Details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are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available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</w:t>
      </w:r>
      <w:hyperlink r:id="rId6" w:history="1"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>Human</w:t>
        </w:r>
        <w:proofErr w:type="spellEnd"/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 xml:space="preserve"> </w:t>
        </w:r>
        <w:proofErr w:type="spellStart"/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>Rights</w:t>
        </w:r>
        <w:proofErr w:type="spellEnd"/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 xml:space="preserve"> </w:t>
        </w:r>
        <w:proofErr w:type="spellStart"/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>Law</w:t>
        </w:r>
        <w:proofErr w:type="spellEnd"/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 xml:space="preserve"> Centre website</w:t>
        </w:r>
      </w:hyperlink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complainants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alleged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G4S Australia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Ltd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a private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company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incorporated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Australia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wholly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owned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subsidiary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G4S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Plc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breached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As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pertains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operations of G4S Australia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Ltd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(G4S)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rather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company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the ANCP,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rather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UKNCP, has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480" w:after="120" w:line="240" w:lineRule="auto"/>
        <w:outlineLvl w:val="1"/>
        <w:rPr>
          <w:rFonts w:ascii="Arial" w:eastAsia="Times New Roman" w:hAnsi="Arial" w:cs="Arial"/>
          <w:b/>
          <w:bCs/>
          <w:color w:val="017F62"/>
          <w:sz w:val="25"/>
          <w:szCs w:val="25"/>
        </w:rPr>
      </w:pPr>
      <w:r w:rsidRPr="003E3639">
        <w:rPr>
          <w:rFonts w:ascii="Arial" w:eastAsia="Times New Roman" w:hAnsi="Arial" w:cs="Arial"/>
          <w:b/>
          <w:bCs/>
          <w:color w:val="017F62"/>
          <w:sz w:val="25"/>
          <w:szCs w:val="25"/>
        </w:rPr>
        <w:t xml:space="preserve">The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sz w:val="25"/>
          <w:szCs w:val="25"/>
        </w:rPr>
        <w:t>complaint</w:t>
      </w:r>
      <w:proofErr w:type="spellEnd"/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alleges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G4S,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capacity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as the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company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contracted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Commonwealth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Australia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oversee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management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security at the Manus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Regional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Processing Centre (MRPC),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failed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following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sections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3E3639" w:rsidRPr="003E3639" w:rsidRDefault="003E3639" w:rsidP="003E3639">
      <w:pPr>
        <w:numPr>
          <w:ilvl w:val="0"/>
          <w:numId w:val="5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Chapter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II (General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Principles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3E3639" w:rsidRPr="003E3639" w:rsidRDefault="003E3639" w:rsidP="003E3639">
      <w:pPr>
        <w:numPr>
          <w:ilvl w:val="1"/>
          <w:numId w:val="6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Paragraphs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A2, A8, A10, A11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A12</w:t>
      </w:r>
    </w:p>
    <w:p w:rsidR="003E3639" w:rsidRPr="003E3639" w:rsidRDefault="003E3639" w:rsidP="003E3639">
      <w:pPr>
        <w:numPr>
          <w:ilvl w:val="0"/>
          <w:numId w:val="6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Chapter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IV (Human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Rights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3E3639" w:rsidRPr="003E3639" w:rsidRDefault="003E3639" w:rsidP="003E3639">
      <w:pPr>
        <w:numPr>
          <w:ilvl w:val="1"/>
          <w:numId w:val="6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Paragraphs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2, 3, 5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6</w:t>
      </w:r>
    </w:p>
    <w:p w:rsidR="003E3639" w:rsidRPr="003E3639" w:rsidRDefault="003E3639" w:rsidP="003E3639">
      <w:pPr>
        <w:spacing w:before="480" w:after="120" w:line="240" w:lineRule="auto"/>
        <w:outlineLvl w:val="1"/>
        <w:rPr>
          <w:rFonts w:ascii="Arial" w:eastAsia="Times New Roman" w:hAnsi="Arial" w:cs="Arial"/>
          <w:b/>
          <w:bCs/>
          <w:color w:val="017F62"/>
          <w:sz w:val="25"/>
          <w:szCs w:val="25"/>
        </w:rPr>
      </w:pPr>
      <w:r w:rsidRPr="003E3639">
        <w:rPr>
          <w:rFonts w:ascii="Arial" w:eastAsia="Times New Roman" w:hAnsi="Arial" w:cs="Arial"/>
          <w:b/>
          <w:bCs/>
          <w:color w:val="017F62"/>
          <w:sz w:val="25"/>
          <w:szCs w:val="25"/>
        </w:rPr>
        <w:t xml:space="preserve">The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sz w:val="25"/>
          <w:szCs w:val="25"/>
        </w:rPr>
        <w:t>purpose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sz w:val="25"/>
          <w:szCs w:val="25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b/>
          <w:bCs/>
          <w:color w:val="017F62"/>
          <w:sz w:val="25"/>
          <w:szCs w:val="25"/>
        </w:rPr>
        <w:t>Guidelines</w:t>
      </w:r>
      <w:proofErr w:type="spellEnd"/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aim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develop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sustainable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approach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business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conduct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promote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atmosphere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mutual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confidence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between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multinational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enterprises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societies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which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operate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provide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voluntary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principles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standards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responsible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business in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variety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areas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including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human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rights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, anti-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corruption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taxation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labour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relations, environment, information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disclosure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consumer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protection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process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designed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around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bringing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disputing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parties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together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them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resolve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their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differences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017F62"/>
          <w:sz w:val="23"/>
          <w:szCs w:val="23"/>
        </w:rPr>
      </w:pPr>
      <w:proofErr w:type="spellStart"/>
      <w:r w:rsidRPr="003E3639">
        <w:rPr>
          <w:rFonts w:ascii="Arial" w:eastAsia="Times New Roman" w:hAnsi="Arial" w:cs="Arial"/>
          <w:b/>
          <w:bCs/>
          <w:color w:val="017F62"/>
          <w:sz w:val="23"/>
          <w:szCs w:val="23"/>
        </w:rPr>
        <w:t>Initial</w:t>
      </w:r>
      <w:proofErr w:type="spellEnd"/>
      <w:r w:rsidRPr="003E3639">
        <w:rPr>
          <w:rFonts w:ascii="Arial" w:eastAsia="Times New Roman" w:hAnsi="Arial" w:cs="Arial"/>
          <w:b/>
          <w:bCs/>
          <w:color w:val="017F62"/>
          <w:sz w:val="23"/>
          <w:szCs w:val="23"/>
        </w:rPr>
        <w:t xml:space="preserve"> assessment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Consistent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procedures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agreed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OECD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handling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specific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instances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commenced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initial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assessment as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whether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matters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raised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warranted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further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under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As part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responsibility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interpret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the OECD Investment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Committee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has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indicated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following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issues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should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taken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account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National Contact Point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when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undertaking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initial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assessment:</w:t>
      </w:r>
    </w:p>
    <w:p w:rsidR="003E3639" w:rsidRPr="003E3639" w:rsidRDefault="003E3639" w:rsidP="003E3639">
      <w:pPr>
        <w:numPr>
          <w:ilvl w:val="0"/>
          <w:numId w:val="7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identity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party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concerned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interest in the matter.</w:t>
      </w:r>
    </w:p>
    <w:p w:rsidR="003E3639" w:rsidRPr="003E3639" w:rsidRDefault="003E3639" w:rsidP="003E3639">
      <w:pPr>
        <w:numPr>
          <w:ilvl w:val="0"/>
          <w:numId w:val="7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Whether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issue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material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substantiated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0"/>
          <w:numId w:val="7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Whether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there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seems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link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between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enterprise’s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activities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issue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raised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specific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instance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0"/>
          <w:numId w:val="7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relevance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applicable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law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procedures,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including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court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rulings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0"/>
          <w:numId w:val="7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How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similar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issues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have been, or are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treated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domestic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or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international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proceedings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0"/>
          <w:numId w:val="7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Whether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specific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issue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would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contribute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purposes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effectiveness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Importantly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while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have been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endorsed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within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OECD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international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forum,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are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substitute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nor do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override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domestic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laws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represent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standards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behaviour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supplemental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domestic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laws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as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do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create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conflicting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requirements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As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Australian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company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involved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this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is a multinational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enterprise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falls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within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scope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issues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involved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The ANCP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ensured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both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parties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were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consulted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during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process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During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process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ANCP:</w:t>
      </w:r>
    </w:p>
    <w:p w:rsidR="003E3639" w:rsidRPr="003E3639" w:rsidRDefault="003E3639" w:rsidP="003E3639">
      <w:pPr>
        <w:numPr>
          <w:ilvl w:val="0"/>
          <w:numId w:val="8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information in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specific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instance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3E3639" w:rsidRPr="003E3639" w:rsidRDefault="003E3639" w:rsidP="003E3639">
      <w:pPr>
        <w:numPr>
          <w:ilvl w:val="0"/>
          <w:numId w:val="8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sought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considered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information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provided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G4S;</w:t>
      </w:r>
    </w:p>
    <w:p w:rsidR="003E3639" w:rsidRPr="003E3639" w:rsidRDefault="003E3639" w:rsidP="003E3639">
      <w:pPr>
        <w:numPr>
          <w:ilvl w:val="0"/>
          <w:numId w:val="8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exchanged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emails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letters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both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parties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;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</w:p>
    <w:p w:rsidR="003E3639" w:rsidRPr="003E3639" w:rsidRDefault="003E3639" w:rsidP="003E3639">
      <w:pPr>
        <w:numPr>
          <w:ilvl w:val="0"/>
          <w:numId w:val="8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discussed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matter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telephone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UKNCP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agreed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would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responsible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017F62"/>
          <w:sz w:val="23"/>
          <w:szCs w:val="23"/>
        </w:rPr>
      </w:pPr>
      <w:proofErr w:type="spellStart"/>
      <w:proofErr w:type="gramStart"/>
      <w:r w:rsidRPr="003E3639">
        <w:rPr>
          <w:rFonts w:ascii="Arial" w:eastAsia="Times New Roman" w:hAnsi="Arial" w:cs="Arial"/>
          <w:b/>
          <w:bCs/>
          <w:color w:val="017F62"/>
          <w:sz w:val="23"/>
          <w:szCs w:val="23"/>
        </w:rPr>
        <w:t>Outcome</w:t>
      </w:r>
      <w:proofErr w:type="spellEnd"/>
      <w:proofErr w:type="gramEnd"/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At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this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time the ANCP is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accept the matter as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specific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instance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under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reaching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this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conclusion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the ANCP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considered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three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aspects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complainant’s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submission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3E3639" w:rsidRPr="003E3639" w:rsidRDefault="003E3639" w:rsidP="003E3639">
      <w:pPr>
        <w:numPr>
          <w:ilvl w:val="0"/>
          <w:numId w:val="9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role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G4S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giving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effect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policy.</w:t>
      </w:r>
    </w:p>
    <w:p w:rsidR="003E3639" w:rsidRPr="003E3639" w:rsidRDefault="003E3639" w:rsidP="003E3639">
      <w:pPr>
        <w:numPr>
          <w:ilvl w:val="0"/>
          <w:numId w:val="9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conduct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G4S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staff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delivering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on the contract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0"/>
          <w:numId w:val="9"/>
        </w:numPr>
        <w:spacing w:before="240" w:after="240" w:line="336" w:lineRule="atLeast"/>
        <w:ind w:left="426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Legal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liability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events at the MRPC.</w:t>
      </w:r>
    </w:p>
    <w:p w:rsidR="003E3639" w:rsidRPr="003E3639" w:rsidRDefault="003E3639" w:rsidP="003E3639">
      <w:pPr>
        <w:numPr>
          <w:ilvl w:val="0"/>
          <w:numId w:val="10"/>
        </w:numPr>
        <w:spacing w:before="100" w:beforeAutospacing="1" w:after="100" w:afterAutospacing="1" w:line="336" w:lineRule="atLeast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role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of G4S in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giving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effect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policy.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aspects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complaint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could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interpreted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commentary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policy.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However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G4S as service provider is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accountable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policy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mechanisms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exist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review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scrutiny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policy.  The ANCP is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most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appropriate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vehicle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resolution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matters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It is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role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issue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commentary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whether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intended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or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otherwise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policies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or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law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0"/>
          <w:numId w:val="10"/>
        </w:numPr>
        <w:spacing w:before="100" w:beforeAutospacing="1" w:after="100" w:afterAutospacing="1" w:line="336" w:lineRule="atLeast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conduct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of G4S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staff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delivering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on the contract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Government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conduct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G4S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staff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is relevant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OECD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guidelines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this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regard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reviews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have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already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taken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place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respect of the MRPC,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which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have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reviewed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conduct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G4S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staff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Two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independent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reviews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subsequent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reports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Robert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Cornall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AO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Secretary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Department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Immigration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Border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Protection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Amongst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recommendations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 </w:t>
      </w:r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Review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into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the Events of 16-18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February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2014 at the Manus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Regional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Processing Centre </w:t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are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those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relating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conditions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training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staff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These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reports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are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available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on the 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"http://www.immi.gov.au/about/dept-info/manus.htm" </w:instrText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>Department</w:t>
      </w:r>
      <w:proofErr w:type="spellEnd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>Immigration</w:t>
      </w:r>
      <w:proofErr w:type="spellEnd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>and</w:t>
      </w:r>
      <w:proofErr w:type="spellEnd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 xml:space="preserve"> Border </w:t>
      </w:r>
      <w:proofErr w:type="spellStart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>Protection</w:t>
      </w:r>
      <w:proofErr w:type="spellEnd"/>
      <w:r w:rsidRPr="003E3639">
        <w:rPr>
          <w:rFonts w:ascii="Arial" w:eastAsia="Times New Roman" w:hAnsi="Arial" w:cs="Arial"/>
          <w:color w:val="346A74"/>
          <w:sz w:val="19"/>
          <w:szCs w:val="19"/>
          <w:u w:val="single"/>
        </w:rPr>
        <w:t xml:space="preserve"> website</w:t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Senate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Inquiry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 </w:t>
      </w:r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Incident at the Manus Island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Detention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Centre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from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16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February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18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February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2014</w:t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.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Inquiry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released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report on 11 </w:t>
      </w:r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December</w:t>
      </w:r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2014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which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contained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number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recommendations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including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one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relating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ensuring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adequacy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training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staff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at the MRPC. </w:t>
      </w:r>
      <w:hyperlink r:id="rId7" w:history="1">
        <w:r w:rsidRPr="003E3639">
          <w:rPr>
            <w:rFonts w:ascii="Arial" w:eastAsia="Times New Roman" w:hAnsi="Arial" w:cs="Arial"/>
            <w:color w:val="346A74"/>
            <w:sz w:val="19"/>
            <w:szCs w:val="19"/>
            <w:u w:val="single"/>
          </w:rPr>
          <w:t>View report:</w:t>
        </w:r>
        <w:r w:rsidRPr="003E3639">
          <w:rPr>
            <w:rFonts w:ascii="Arial" w:eastAsia="Times New Roman" w:hAnsi="Arial" w:cs="Arial"/>
            <w:color w:val="346A74"/>
            <w:sz w:val="19"/>
            <w:szCs w:val="19"/>
          </w:rPr>
          <w:t> </w:t>
        </w:r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 xml:space="preserve">Incident at the Manus Island </w:t>
        </w:r>
        <w:proofErr w:type="spellStart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>Detention</w:t>
        </w:r>
        <w:proofErr w:type="spellEnd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 xml:space="preserve"> Centre </w:t>
        </w:r>
        <w:proofErr w:type="spellStart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>from</w:t>
        </w:r>
        <w:proofErr w:type="spellEnd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 xml:space="preserve"> 16 </w:t>
        </w:r>
        <w:proofErr w:type="spellStart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>February</w:t>
        </w:r>
        <w:proofErr w:type="spellEnd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 xml:space="preserve"> </w:t>
        </w:r>
        <w:proofErr w:type="spellStart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>to</w:t>
        </w:r>
        <w:proofErr w:type="spellEnd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 xml:space="preserve"> 18 </w:t>
        </w:r>
        <w:proofErr w:type="spellStart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>February</w:t>
        </w:r>
        <w:proofErr w:type="spellEnd"/>
        <w:r w:rsidRPr="003E3639">
          <w:rPr>
            <w:rFonts w:ascii="Arial" w:eastAsia="Times New Roman" w:hAnsi="Arial" w:cs="Arial"/>
            <w:i/>
            <w:iCs/>
            <w:color w:val="346A74"/>
            <w:sz w:val="19"/>
            <w:szCs w:val="19"/>
          </w:rPr>
          <w:t xml:space="preserve"> 2014</w:t>
        </w:r>
      </w:hyperlink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ANCP is of the view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further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review of G4S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conduct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at the MRPC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would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unlikely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add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further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value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these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already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extensive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reviews. As G4S has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operated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facility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since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March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2014,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there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unlikely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new information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that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can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brought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light on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operation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the MRPC.</w:t>
      </w:r>
    </w:p>
    <w:p w:rsidR="003E3639" w:rsidRPr="003E3639" w:rsidRDefault="003E3639" w:rsidP="003E3639">
      <w:pPr>
        <w:numPr>
          <w:ilvl w:val="0"/>
          <w:numId w:val="10"/>
        </w:numPr>
        <w:spacing w:before="100" w:beforeAutospacing="1" w:after="100" w:afterAutospacing="1" w:line="336" w:lineRule="atLeast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Legal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liability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events at the Manus </w:t>
      </w:r>
      <w:proofErr w:type="spellStart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>Regional</w:t>
      </w:r>
      <w:proofErr w:type="spellEnd"/>
      <w:r w:rsidRPr="003E363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Processing Centre.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The have been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various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legal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proceedings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relation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incidents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at the MRPC,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some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which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are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ongoing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including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3E3639" w:rsidRPr="003E3639" w:rsidRDefault="003E3639" w:rsidP="003E3639">
      <w:pPr>
        <w:numPr>
          <w:ilvl w:val="1"/>
          <w:numId w:val="11"/>
        </w:numPr>
        <w:spacing w:before="240" w:after="240" w:line="336" w:lineRule="atLeast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A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civil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proceeding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, </w:t>
      </w:r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RN v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Commonwealth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of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Commonwealth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of Australia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and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t>Anor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before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Supreme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Court of Victoria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relating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alleged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injury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of a MRPC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transferee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E3639" w:rsidRPr="003E3639" w:rsidRDefault="003E3639" w:rsidP="003E3639">
      <w:pPr>
        <w:numPr>
          <w:ilvl w:val="1"/>
          <w:numId w:val="11"/>
        </w:numPr>
        <w:spacing w:before="240" w:after="240" w:line="336" w:lineRule="atLeast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lastRenderedPageBreak/>
        <w:t>A class action, </w:t>
      </w:r>
      <w:proofErr w:type="spellStart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fldChar w:fldCharType="begin"/>
      </w:r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instrText xml:space="preserve"> HYPERLINK "http://www.supremecourt.vic.gov.au/home/law+and+practice/class+actions/manus+island+detention+class+action" </w:instrText>
      </w:r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fldChar w:fldCharType="separate"/>
      </w:r>
      <w:r w:rsidRPr="003E3639">
        <w:rPr>
          <w:rFonts w:ascii="Arial" w:eastAsia="Times New Roman" w:hAnsi="Arial" w:cs="Arial"/>
          <w:i/>
          <w:iCs/>
          <w:color w:val="346A74"/>
          <w:sz w:val="19"/>
          <w:szCs w:val="19"/>
          <w:u w:val="single"/>
        </w:rPr>
        <w:t>Kamasaee</w:t>
      </w:r>
      <w:proofErr w:type="spellEnd"/>
      <w:r w:rsidRPr="003E3639">
        <w:rPr>
          <w:rFonts w:ascii="Arial" w:eastAsia="Times New Roman" w:hAnsi="Arial" w:cs="Arial"/>
          <w:i/>
          <w:iCs/>
          <w:color w:val="346A74"/>
          <w:sz w:val="19"/>
          <w:szCs w:val="19"/>
          <w:u w:val="single"/>
        </w:rPr>
        <w:t xml:space="preserve"> v </w:t>
      </w:r>
      <w:proofErr w:type="spellStart"/>
      <w:r w:rsidRPr="003E3639">
        <w:rPr>
          <w:rFonts w:ascii="Arial" w:eastAsia="Times New Roman" w:hAnsi="Arial" w:cs="Arial"/>
          <w:i/>
          <w:iCs/>
          <w:color w:val="346A74"/>
          <w:sz w:val="19"/>
          <w:szCs w:val="19"/>
          <w:u w:val="single"/>
        </w:rPr>
        <w:t>Commonwealth</w:t>
      </w:r>
      <w:proofErr w:type="spellEnd"/>
      <w:r w:rsidRPr="003E3639">
        <w:rPr>
          <w:rFonts w:ascii="Arial" w:eastAsia="Times New Roman" w:hAnsi="Arial" w:cs="Arial"/>
          <w:i/>
          <w:iCs/>
          <w:color w:val="346A74"/>
          <w:sz w:val="19"/>
          <w:szCs w:val="19"/>
          <w:u w:val="single"/>
        </w:rPr>
        <w:t xml:space="preserve"> &amp; </w:t>
      </w:r>
      <w:proofErr w:type="spellStart"/>
      <w:r w:rsidRPr="003E3639">
        <w:rPr>
          <w:rFonts w:ascii="Arial" w:eastAsia="Times New Roman" w:hAnsi="Arial" w:cs="Arial"/>
          <w:i/>
          <w:iCs/>
          <w:color w:val="346A74"/>
          <w:sz w:val="19"/>
          <w:szCs w:val="19"/>
          <w:u w:val="single"/>
        </w:rPr>
        <w:t>Ors</w:t>
      </w:r>
      <w:proofErr w:type="spellEnd"/>
      <w:r w:rsidRPr="003E3639">
        <w:rPr>
          <w:rFonts w:ascii="Arial" w:eastAsia="Times New Roman" w:hAnsi="Arial" w:cs="Arial"/>
          <w:i/>
          <w:iCs/>
          <w:color w:val="000000"/>
          <w:sz w:val="19"/>
          <w:szCs w:val="19"/>
        </w:rPr>
        <w:fldChar w:fldCharType="end"/>
      </w: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be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considered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the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Supreme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Court of Victoria.</w:t>
      </w:r>
    </w:p>
    <w:p w:rsidR="003E3639" w:rsidRPr="003E3639" w:rsidRDefault="003E3639" w:rsidP="003E3639">
      <w:pPr>
        <w:numPr>
          <w:ilvl w:val="1"/>
          <w:numId w:val="11"/>
        </w:numPr>
        <w:spacing w:before="240" w:after="240" w:line="336" w:lineRule="atLeast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Legal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proceedings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within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PNG,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including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cases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with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PNG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Supreme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Court.</w:t>
      </w:r>
    </w:p>
    <w:p w:rsidR="003E3639" w:rsidRPr="003E3639" w:rsidRDefault="003E3639" w:rsidP="003E3639">
      <w:pPr>
        <w:spacing w:before="120" w:after="192" w:line="336" w:lineRule="atLeast"/>
        <w:ind w:right="69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It is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clearly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not</w:t>
      </w:r>
      <w:proofErr w:type="spellEnd"/>
      <w:proofErr w:type="gram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appropriate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for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the ANCP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to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intervene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any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way in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due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legal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processes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either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domestic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 xml:space="preserve"> or </w:t>
      </w:r>
      <w:proofErr w:type="spellStart"/>
      <w:r w:rsidRPr="003E3639">
        <w:rPr>
          <w:rFonts w:ascii="Arial" w:eastAsia="Times New Roman" w:hAnsi="Arial" w:cs="Arial"/>
          <w:color w:val="000000"/>
          <w:sz w:val="19"/>
          <w:szCs w:val="19"/>
        </w:rPr>
        <w:t>international</w:t>
      </w:r>
      <w:proofErr w:type="spellEnd"/>
      <w:r w:rsidRPr="003E36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9D6DAA" w:rsidRDefault="009D6DAA"/>
    <w:sectPr w:rsidR="009D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 Avenir Roman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50D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73E1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725CB"/>
    <w:multiLevelType w:val="hybridMultilevel"/>
    <w:tmpl w:val="3C10A3CE"/>
    <w:lvl w:ilvl="0" w:tplc="7CF65F12">
      <w:start w:val="1"/>
      <w:numFmt w:val="bullet"/>
      <w:pStyle w:val="ListBullet2"/>
      <w:lvlText w:val="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  <w:color w:val="00800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6518B"/>
    <w:multiLevelType w:val="hybridMultilevel"/>
    <w:tmpl w:val="339EB000"/>
    <w:lvl w:ilvl="0" w:tplc="03DA3146">
      <w:start w:val="1"/>
      <w:numFmt w:val="bullet"/>
      <w:pStyle w:val="ListBullet"/>
      <w:lvlText w:val=""/>
      <w:lvlJc w:val="left"/>
      <w:pPr>
        <w:tabs>
          <w:tab w:val="num" w:pos="1559"/>
        </w:tabs>
        <w:ind w:left="1559" w:hanging="1559"/>
      </w:pPr>
      <w:rPr>
        <w:rFonts w:ascii="Wingdings" w:hAnsi="Wingdings" w:hint="default"/>
        <w:color w:val="990000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42F574B5"/>
    <w:multiLevelType w:val="multilevel"/>
    <w:tmpl w:val="332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70051"/>
    <w:multiLevelType w:val="multilevel"/>
    <w:tmpl w:val="B0D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80BA4"/>
    <w:multiLevelType w:val="multilevel"/>
    <w:tmpl w:val="634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06147"/>
    <w:multiLevelType w:val="multilevel"/>
    <w:tmpl w:val="50B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918A7"/>
    <w:multiLevelType w:val="multilevel"/>
    <w:tmpl w:val="F36E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39"/>
    <w:rsid w:val="003E3639"/>
    <w:rsid w:val="009D6DAA"/>
    <w:rsid w:val="00B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68"/>
    <w:pPr>
      <w:spacing w:after="0" w:line="260" w:lineRule="exact"/>
    </w:pPr>
    <w:rPr>
      <w:rFonts w:ascii="R Avenir Roman" w:hAnsi="R Avenir Roman" w:cs="Times New Roman"/>
      <w:sz w:val="18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868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868"/>
    <w:pPr>
      <w:keepNext/>
      <w:outlineLvl w:val="1"/>
    </w:pPr>
    <w:rPr>
      <w:rFonts w:ascii="Univers" w:hAnsi="Univers"/>
      <w:b/>
      <w:bCs/>
      <w:sz w:val="16"/>
    </w:rPr>
  </w:style>
  <w:style w:type="paragraph" w:styleId="Heading3">
    <w:name w:val="heading 3"/>
    <w:basedOn w:val="Normal"/>
    <w:link w:val="Heading3Char"/>
    <w:uiPriority w:val="9"/>
    <w:qFormat/>
    <w:rsid w:val="003E3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3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868"/>
    <w:rPr>
      <w:rFonts w:ascii="Tahoma" w:eastAsia="Times" w:hAnsi="Tahoma" w:cs="Tahoma"/>
      <w:sz w:val="16"/>
      <w:szCs w:val="16"/>
      <w:lang w:eastAsia="nl-NL"/>
    </w:rPr>
  </w:style>
  <w:style w:type="paragraph" w:styleId="BodyText">
    <w:name w:val="Body Text"/>
    <w:basedOn w:val="Normal"/>
    <w:link w:val="BodyTextChar"/>
    <w:rsid w:val="00BF3868"/>
    <w:rPr>
      <w:rFonts w:ascii="Bookman Old Style" w:hAnsi="Bookman Old Style"/>
      <w:b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rsid w:val="00BF3868"/>
    <w:rPr>
      <w:rFonts w:ascii="Bookman Old Style" w:eastAsia="Times" w:hAnsi="Bookman Old Style" w:cs="Times New Roman"/>
      <w:b/>
      <w:sz w:val="30"/>
      <w:szCs w:val="30"/>
      <w:lang w:val="en-US" w:eastAsia="nl-NL"/>
    </w:rPr>
  </w:style>
  <w:style w:type="paragraph" w:styleId="BodyText3">
    <w:name w:val="Body Text 3"/>
    <w:basedOn w:val="Normal"/>
    <w:link w:val="BodyText3Char"/>
    <w:rsid w:val="00BF3868"/>
    <w:pPr>
      <w:jc w:val="right"/>
    </w:pPr>
    <w:rPr>
      <w:rFonts w:ascii="Univers" w:hAnsi="Univers"/>
      <w:b/>
      <w:bCs/>
      <w:color w:val="A01864"/>
      <w:w w:val="75"/>
      <w:sz w:val="72"/>
    </w:rPr>
  </w:style>
  <w:style w:type="character" w:customStyle="1" w:styleId="BodyText3Char">
    <w:name w:val="Body Text 3 Char"/>
    <w:basedOn w:val="DefaultParagraphFont"/>
    <w:link w:val="BodyText3"/>
    <w:rsid w:val="00BF3868"/>
    <w:rPr>
      <w:rFonts w:ascii="Univers" w:eastAsia="Times" w:hAnsi="Univers" w:cs="Times New Roman"/>
      <w:b/>
      <w:bCs/>
      <w:color w:val="A01864"/>
      <w:w w:val="75"/>
      <w:sz w:val="72"/>
      <w:szCs w:val="20"/>
      <w:lang w:eastAsia="nl-NL"/>
    </w:rPr>
  </w:style>
  <w:style w:type="paragraph" w:styleId="Footer">
    <w:name w:val="footer"/>
    <w:basedOn w:val="Normal"/>
    <w:link w:val="FooterChar"/>
    <w:rsid w:val="00BF3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3868"/>
    <w:rPr>
      <w:rFonts w:ascii="R Avenir Roman" w:eastAsia="Times" w:hAnsi="R Avenir Roman" w:cs="Times New Roman"/>
      <w:sz w:val="18"/>
      <w:szCs w:val="20"/>
      <w:lang w:eastAsia="nl-NL"/>
    </w:rPr>
  </w:style>
  <w:style w:type="paragraph" w:styleId="Header">
    <w:name w:val="header"/>
    <w:basedOn w:val="Normal"/>
    <w:link w:val="HeaderChar"/>
    <w:rsid w:val="00BF3868"/>
    <w:pPr>
      <w:tabs>
        <w:tab w:val="center" w:pos="4536"/>
        <w:tab w:val="right" w:pos="9072"/>
      </w:tabs>
    </w:pPr>
    <w:rPr>
      <w:rFonts w:ascii="Univers" w:hAnsi="Univers"/>
      <w:sz w:val="22"/>
    </w:rPr>
  </w:style>
  <w:style w:type="character" w:customStyle="1" w:styleId="HeaderChar">
    <w:name w:val="Header Char"/>
    <w:basedOn w:val="DefaultParagraphFont"/>
    <w:link w:val="Header"/>
    <w:rsid w:val="00BF3868"/>
    <w:rPr>
      <w:rFonts w:ascii="Univers" w:eastAsia="Times" w:hAnsi="Univers" w:cs="Times New Roman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BF3868"/>
    <w:rPr>
      <w:rFonts w:ascii="Arial" w:eastAsia="Times" w:hAnsi="Arial" w:cs="Arial"/>
      <w:b/>
      <w:bCs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F3868"/>
    <w:rPr>
      <w:rFonts w:ascii="Univers" w:eastAsia="Times" w:hAnsi="Univers" w:cs="Times New Roman"/>
      <w:b/>
      <w:bCs/>
      <w:sz w:val="16"/>
      <w:szCs w:val="20"/>
      <w:lang w:eastAsia="nl-NL"/>
    </w:rPr>
  </w:style>
  <w:style w:type="character" w:styleId="Hyperlink">
    <w:name w:val="Hyperlink"/>
    <w:uiPriority w:val="99"/>
    <w:rsid w:val="00BF3868"/>
    <w:rPr>
      <w:color w:val="0000FF"/>
      <w:u w:val="single"/>
    </w:rPr>
  </w:style>
  <w:style w:type="paragraph" w:styleId="ListBullet">
    <w:name w:val="List Bullet"/>
    <w:basedOn w:val="Normal"/>
    <w:rsid w:val="00BF3868"/>
    <w:pPr>
      <w:numPr>
        <w:numId w:val="2"/>
      </w:numPr>
    </w:pPr>
  </w:style>
  <w:style w:type="paragraph" w:styleId="ListBullet2">
    <w:name w:val="List Bullet 2"/>
    <w:basedOn w:val="Normal"/>
    <w:rsid w:val="00BF386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F3868"/>
    <w:pPr>
      <w:spacing w:before="120" w:after="120" w:line="240" w:lineRule="auto"/>
      <w:ind w:left="720"/>
      <w:contextualSpacing/>
    </w:pPr>
    <w:rPr>
      <w:rFonts w:ascii="Arial" w:eastAsiaTheme="minorEastAsia" w:hAnsi="Arial"/>
      <w:sz w:val="22"/>
      <w:lang w:val="en-GB"/>
    </w:rPr>
  </w:style>
  <w:style w:type="character" w:customStyle="1" w:styleId="normal1">
    <w:name w:val="normal1"/>
    <w:rsid w:val="00BF3868"/>
    <w:rPr>
      <w:color w:val="000000"/>
      <w:sz w:val="19"/>
      <w:szCs w:val="19"/>
    </w:rPr>
  </w:style>
  <w:style w:type="character" w:styleId="PageNumber">
    <w:name w:val="page number"/>
    <w:basedOn w:val="DefaultParagraphFont"/>
    <w:rsid w:val="00BF3868"/>
  </w:style>
  <w:style w:type="paragraph" w:customStyle="1" w:styleId="Prijs">
    <w:name w:val="Prijs"/>
    <w:basedOn w:val="Normal"/>
    <w:rsid w:val="00BF3868"/>
    <w:pPr>
      <w:tabs>
        <w:tab w:val="left" w:pos="6804"/>
        <w:tab w:val="decimal" w:pos="7938"/>
      </w:tabs>
    </w:pPr>
  </w:style>
  <w:style w:type="table" w:styleId="TableGrid">
    <w:name w:val="Table Grid"/>
    <w:basedOn w:val="TableNormal"/>
    <w:rsid w:val="00BF3868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363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DefaultParagraphFont"/>
    <w:rsid w:val="003E3639"/>
  </w:style>
  <w:style w:type="paragraph" w:styleId="NormalWeb">
    <w:name w:val="Normal (Web)"/>
    <w:basedOn w:val="Normal"/>
    <w:uiPriority w:val="99"/>
    <w:semiHidden/>
    <w:unhideWhenUsed/>
    <w:rsid w:val="003E3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639"/>
    <w:rPr>
      <w:b/>
      <w:bCs/>
    </w:rPr>
  </w:style>
  <w:style w:type="character" w:styleId="Emphasis">
    <w:name w:val="Emphasis"/>
    <w:basedOn w:val="DefaultParagraphFont"/>
    <w:uiPriority w:val="20"/>
    <w:qFormat/>
    <w:rsid w:val="003E3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68"/>
    <w:pPr>
      <w:spacing w:after="0" w:line="260" w:lineRule="exact"/>
    </w:pPr>
    <w:rPr>
      <w:rFonts w:ascii="R Avenir Roman" w:hAnsi="R Avenir Roman" w:cs="Times New Roman"/>
      <w:sz w:val="18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868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868"/>
    <w:pPr>
      <w:keepNext/>
      <w:outlineLvl w:val="1"/>
    </w:pPr>
    <w:rPr>
      <w:rFonts w:ascii="Univers" w:hAnsi="Univers"/>
      <w:b/>
      <w:bCs/>
      <w:sz w:val="16"/>
    </w:rPr>
  </w:style>
  <w:style w:type="paragraph" w:styleId="Heading3">
    <w:name w:val="heading 3"/>
    <w:basedOn w:val="Normal"/>
    <w:link w:val="Heading3Char"/>
    <w:uiPriority w:val="9"/>
    <w:qFormat/>
    <w:rsid w:val="003E3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3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868"/>
    <w:rPr>
      <w:rFonts w:ascii="Tahoma" w:eastAsia="Times" w:hAnsi="Tahoma" w:cs="Tahoma"/>
      <w:sz w:val="16"/>
      <w:szCs w:val="16"/>
      <w:lang w:eastAsia="nl-NL"/>
    </w:rPr>
  </w:style>
  <w:style w:type="paragraph" w:styleId="BodyText">
    <w:name w:val="Body Text"/>
    <w:basedOn w:val="Normal"/>
    <w:link w:val="BodyTextChar"/>
    <w:rsid w:val="00BF3868"/>
    <w:rPr>
      <w:rFonts w:ascii="Bookman Old Style" w:hAnsi="Bookman Old Style"/>
      <w:b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rsid w:val="00BF3868"/>
    <w:rPr>
      <w:rFonts w:ascii="Bookman Old Style" w:eastAsia="Times" w:hAnsi="Bookman Old Style" w:cs="Times New Roman"/>
      <w:b/>
      <w:sz w:val="30"/>
      <w:szCs w:val="30"/>
      <w:lang w:val="en-US" w:eastAsia="nl-NL"/>
    </w:rPr>
  </w:style>
  <w:style w:type="paragraph" w:styleId="BodyText3">
    <w:name w:val="Body Text 3"/>
    <w:basedOn w:val="Normal"/>
    <w:link w:val="BodyText3Char"/>
    <w:rsid w:val="00BF3868"/>
    <w:pPr>
      <w:jc w:val="right"/>
    </w:pPr>
    <w:rPr>
      <w:rFonts w:ascii="Univers" w:hAnsi="Univers"/>
      <w:b/>
      <w:bCs/>
      <w:color w:val="A01864"/>
      <w:w w:val="75"/>
      <w:sz w:val="72"/>
    </w:rPr>
  </w:style>
  <w:style w:type="character" w:customStyle="1" w:styleId="BodyText3Char">
    <w:name w:val="Body Text 3 Char"/>
    <w:basedOn w:val="DefaultParagraphFont"/>
    <w:link w:val="BodyText3"/>
    <w:rsid w:val="00BF3868"/>
    <w:rPr>
      <w:rFonts w:ascii="Univers" w:eastAsia="Times" w:hAnsi="Univers" w:cs="Times New Roman"/>
      <w:b/>
      <w:bCs/>
      <w:color w:val="A01864"/>
      <w:w w:val="75"/>
      <w:sz w:val="72"/>
      <w:szCs w:val="20"/>
      <w:lang w:eastAsia="nl-NL"/>
    </w:rPr>
  </w:style>
  <w:style w:type="paragraph" w:styleId="Footer">
    <w:name w:val="footer"/>
    <w:basedOn w:val="Normal"/>
    <w:link w:val="FooterChar"/>
    <w:rsid w:val="00BF3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3868"/>
    <w:rPr>
      <w:rFonts w:ascii="R Avenir Roman" w:eastAsia="Times" w:hAnsi="R Avenir Roman" w:cs="Times New Roman"/>
      <w:sz w:val="18"/>
      <w:szCs w:val="20"/>
      <w:lang w:eastAsia="nl-NL"/>
    </w:rPr>
  </w:style>
  <w:style w:type="paragraph" w:styleId="Header">
    <w:name w:val="header"/>
    <w:basedOn w:val="Normal"/>
    <w:link w:val="HeaderChar"/>
    <w:rsid w:val="00BF3868"/>
    <w:pPr>
      <w:tabs>
        <w:tab w:val="center" w:pos="4536"/>
        <w:tab w:val="right" w:pos="9072"/>
      </w:tabs>
    </w:pPr>
    <w:rPr>
      <w:rFonts w:ascii="Univers" w:hAnsi="Univers"/>
      <w:sz w:val="22"/>
    </w:rPr>
  </w:style>
  <w:style w:type="character" w:customStyle="1" w:styleId="HeaderChar">
    <w:name w:val="Header Char"/>
    <w:basedOn w:val="DefaultParagraphFont"/>
    <w:link w:val="Header"/>
    <w:rsid w:val="00BF3868"/>
    <w:rPr>
      <w:rFonts w:ascii="Univers" w:eastAsia="Times" w:hAnsi="Univers" w:cs="Times New Roman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BF3868"/>
    <w:rPr>
      <w:rFonts w:ascii="Arial" w:eastAsia="Times" w:hAnsi="Arial" w:cs="Arial"/>
      <w:b/>
      <w:bCs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F3868"/>
    <w:rPr>
      <w:rFonts w:ascii="Univers" w:eastAsia="Times" w:hAnsi="Univers" w:cs="Times New Roman"/>
      <w:b/>
      <w:bCs/>
      <w:sz w:val="16"/>
      <w:szCs w:val="20"/>
      <w:lang w:eastAsia="nl-NL"/>
    </w:rPr>
  </w:style>
  <w:style w:type="character" w:styleId="Hyperlink">
    <w:name w:val="Hyperlink"/>
    <w:uiPriority w:val="99"/>
    <w:rsid w:val="00BF3868"/>
    <w:rPr>
      <w:color w:val="0000FF"/>
      <w:u w:val="single"/>
    </w:rPr>
  </w:style>
  <w:style w:type="paragraph" w:styleId="ListBullet">
    <w:name w:val="List Bullet"/>
    <w:basedOn w:val="Normal"/>
    <w:rsid w:val="00BF3868"/>
    <w:pPr>
      <w:numPr>
        <w:numId w:val="2"/>
      </w:numPr>
    </w:pPr>
  </w:style>
  <w:style w:type="paragraph" w:styleId="ListBullet2">
    <w:name w:val="List Bullet 2"/>
    <w:basedOn w:val="Normal"/>
    <w:rsid w:val="00BF386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F3868"/>
    <w:pPr>
      <w:spacing w:before="120" w:after="120" w:line="240" w:lineRule="auto"/>
      <w:ind w:left="720"/>
      <w:contextualSpacing/>
    </w:pPr>
    <w:rPr>
      <w:rFonts w:ascii="Arial" w:eastAsiaTheme="minorEastAsia" w:hAnsi="Arial"/>
      <w:sz w:val="22"/>
      <w:lang w:val="en-GB"/>
    </w:rPr>
  </w:style>
  <w:style w:type="character" w:customStyle="1" w:styleId="normal1">
    <w:name w:val="normal1"/>
    <w:rsid w:val="00BF3868"/>
    <w:rPr>
      <w:color w:val="000000"/>
      <w:sz w:val="19"/>
      <w:szCs w:val="19"/>
    </w:rPr>
  </w:style>
  <w:style w:type="character" w:styleId="PageNumber">
    <w:name w:val="page number"/>
    <w:basedOn w:val="DefaultParagraphFont"/>
    <w:rsid w:val="00BF3868"/>
  </w:style>
  <w:style w:type="paragraph" w:customStyle="1" w:styleId="Prijs">
    <w:name w:val="Prijs"/>
    <w:basedOn w:val="Normal"/>
    <w:rsid w:val="00BF3868"/>
    <w:pPr>
      <w:tabs>
        <w:tab w:val="left" w:pos="6804"/>
        <w:tab w:val="decimal" w:pos="7938"/>
      </w:tabs>
    </w:pPr>
  </w:style>
  <w:style w:type="table" w:styleId="TableGrid">
    <w:name w:val="Table Grid"/>
    <w:basedOn w:val="TableNormal"/>
    <w:rsid w:val="00BF3868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363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DefaultParagraphFont"/>
    <w:rsid w:val="003E3639"/>
  </w:style>
  <w:style w:type="paragraph" w:styleId="NormalWeb">
    <w:name w:val="Normal (Web)"/>
    <w:basedOn w:val="Normal"/>
    <w:uiPriority w:val="99"/>
    <w:semiHidden/>
    <w:unhideWhenUsed/>
    <w:rsid w:val="003E3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639"/>
    <w:rPr>
      <w:b/>
      <w:bCs/>
    </w:rPr>
  </w:style>
  <w:style w:type="character" w:styleId="Emphasis">
    <w:name w:val="Emphasis"/>
    <w:basedOn w:val="DefaultParagraphFont"/>
    <w:uiPriority w:val="20"/>
    <w:qFormat/>
    <w:rsid w:val="003E3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21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8666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h.gov.au/Parliamentary_Business/Committees/Senate/Legal_and_Constitutional_Affairs/Manus_Island/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lc.org.au/complaint-of-serious-human-rights-abuses-lodged-against-g4s-australias-former-security-contractor-on-man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A4986A16.dotm</Template>
  <TotalTime>2</TotalTime>
  <Pages>4</Pages>
  <Words>1114</Words>
  <Characters>6127</Characters>
  <Application>Microsoft Office Word</Application>
  <DocSecurity>0</DocSecurity>
  <Lines>51</Lines>
  <Paragraphs>14</Paragraphs>
  <ScaleCrop>false</ScaleCrop>
  <Company>SOMO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Hartlief</dc:creator>
  <cp:lastModifiedBy>Ilona Hartlief</cp:lastModifiedBy>
  <cp:revision>1</cp:revision>
  <dcterms:created xsi:type="dcterms:W3CDTF">2015-07-08T10:01:00Z</dcterms:created>
  <dcterms:modified xsi:type="dcterms:W3CDTF">2015-07-08T10:03:00Z</dcterms:modified>
</cp:coreProperties>
</file>